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8C8" w:rsidRDefault="00A978C8" w:rsidP="00A978C8">
      <w:pPr>
        <w:spacing w:after="0" w:line="480" w:lineRule="auto"/>
        <w:jc w:val="center"/>
        <w:rPr>
          <w:rFonts w:ascii="Times New Roman" w:eastAsia="Times New Roman" w:hAnsi="Times New Roman" w:cs="Times New Roman"/>
          <w:b/>
          <w:bCs/>
          <w:color w:val="0E101A"/>
          <w:sz w:val="24"/>
          <w:szCs w:val="24"/>
        </w:rPr>
      </w:pPr>
    </w:p>
    <w:p w:rsidR="00A978C8" w:rsidRDefault="00A978C8" w:rsidP="00A978C8">
      <w:pPr>
        <w:spacing w:after="0" w:line="480" w:lineRule="auto"/>
        <w:jc w:val="center"/>
        <w:rPr>
          <w:rFonts w:ascii="Times New Roman" w:eastAsia="Times New Roman" w:hAnsi="Times New Roman" w:cs="Times New Roman"/>
          <w:b/>
          <w:bCs/>
          <w:color w:val="0E101A"/>
          <w:sz w:val="24"/>
          <w:szCs w:val="24"/>
        </w:rPr>
      </w:pPr>
    </w:p>
    <w:p w:rsidR="00A978C8" w:rsidRDefault="00A978C8" w:rsidP="00A978C8">
      <w:pPr>
        <w:spacing w:after="0" w:line="480" w:lineRule="auto"/>
        <w:jc w:val="center"/>
        <w:rPr>
          <w:rFonts w:ascii="Times New Roman" w:eastAsia="Times New Roman" w:hAnsi="Times New Roman" w:cs="Times New Roman"/>
          <w:b/>
          <w:bCs/>
          <w:color w:val="0E101A"/>
          <w:sz w:val="24"/>
          <w:szCs w:val="24"/>
        </w:rPr>
      </w:pPr>
    </w:p>
    <w:p w:rsidR="00A978C8" w:rsidRDefault="00A978C8" w:rsidP="00A978C8">
      <w:pPr>
        <w:spacing w:after="0" w:line="480" w:lineRule="auto"/>
        <w:jc w:val="center"/>
        <w:rPr>
          <w:rFonts w:ascii="Times New Roman" w:eastAsia="Times New Roman" w:hAnsi="Times New Roman" w:cs="Times New Roman"/>
          <w:b/>
          <w:bCs/>
          <w:color w:val="0E101A"/>
          <w:sz w:val="24"/>
          <w:szCs w:val="24"/>
        </w:rPr>
      </w:pPr>
    </w:p>
    <w:p w:rsidR="00A978C8" w:rsidRDefault="00A978C8" w:rsidP="00A978C8">
      <w:pPr>
        <w:spacing w:after="0" w:line="480" w:lineRule="auto"/>
        <w:jc w:val="center"/>
        <w:rPr>
          <w:rFonts w:ascii="Times New Roman" w:eastAsia="Times New Roman" w:hAnsi="Times New Roman" w:cs="Times New Roman"/>
          <w:b/>
          <w:bCs/>
          <w:color w:val="0E101A"/>
          <w:sz w:val="24"/>
          <w:szCs w:val="24"/>
        </w:rPr>
      </w:pPr>
    </w:p>
    <w:p w:rsidR="00A978C8" w:rsidRDefault="00A978C8" w:rsidP="00A978C8">
      <w:pPr>
        <w:spacing w:after="0" w:line="480" w:lineRule="auto"/>
        <w:jc w:val="center"/>
        <w:rPr>
          <w:rFonts w:ascii="Times New Roman" w:eastAsia="Times New Roman" w:hAnsi="Times New Roman" w:cs="Times New Roman"/>
          <w:b/>
          <w:bCs/>
          <w:color w:val="0E101A"/>
          <w:sz w:val="24"/>
          <w:szCs w:val="24"/>
        </w:rPr>
      </w:pPr>
    </w:p>
    <w:p w:rsidR="00A978C8" w:rsidRDefault="00A978C8" w:rsidP="00A978C8">
      <w:pPr>
        <w:spacing w:after="0" w:line="480" w:lineRule="auto"/>
        <w:jc w:val="center"/>
        <w:rPr>
          <w:rFonts w:ascii="Times New Roman" w:eastAsia="Times New Roman" w:hAnsi="Times New Roman" w:cs="Times New Roman"/>
          <w:b/>
          <w:bCs/>
          <w:color w:val="0E101A"/>
          <w:sz w:val="24"/>
          <w:szCs w:val="24"/>
        </w:rPr>
      </w:pPr>
      <w:r w:rsidRPr="00A978C8">
        <w:rPr>
          <w:rFonts w:ascii="Times New Roman" w:eastAsia="Times New Roman" w:hAnsi="Times New Roman" w:cs="Times New Roman"/>
          <w:b/>
          <w:bCs/>
          <w:color w:val="0E101A"/>
          <w:sz w:val="24"/>
          <w:szCs w:val="24"/>
        </w:rPr>
        <w:t xml:space="preserve">Research </w:t>
      </w:r>
      <w:r>
        <w:rPr>
          <w:rFonts w:ascii="Times New Roman" w:eastAsia="Times New Roman" w:hAnsi="Times New Roman" w:cs="Times New Roman"/>
          <w:b/>
          <w:bCs/>
          <w:color w:val="0E101A"/>
          <w:sz w:val="24"/>
          <w:szCs w:val="24"/>
        </w:rPr>
        <w:t>on</w:t>
      </w:r>
      <w:r w:rsidRPr="00A978C8">
        <w:rPr>
          <w:rFonts w:ascii="Times New Roman" w:eastAsia="Times New Roman" w:hAnsi="Times New Roman" w:cs="Times New Roman"/>
          <w:b/>
          <w:bCs/>
          <w:color w:val="0E101A"/>
          <w:sz w:val="24"/>
          <w:szCs w:val="24"/>
        </w:rPr>
        <w:t xml:space="preserve"> Goodwill Impairment</w:t>
      </w:r>
    </w:p>
    <w:p w:rsidR="00A978C8" w:rsidRDefault="00A978C8" w:rsidP="00A978C8">
      <w:pPr>
        <w:spacing w:after="0" w:line="480" w:lineRule="auto"/>
        <w:jc w:val="center"/>
        <w:rPr>
          <w:rFonts w:ascii="Times New Roman" w:eastAsia="Times New Roman" w:hAnsi="Times New Roman" w:cs="Times New Roman"/>
          <w:b/>
          <w:bCs/>
          <w:color w:val="0E101A"/>
          <w:sz w:val="24"/>
          <w:szCs w:val="24"/>
        </w:rPr>
      </w:pPr>
    </w:p>
    <w:p w:rsidR="00A978C8" w:rsidRDefault="00A978C8" w:rsidP="00A978C8">
      <w:pPr>
        <w:pStyle w:val="NormalWeb"/>
        <w:spacing w:before="0" w:beforeAutospacing="0" w:after="0" w:afterAutospacing="0" w:line="480" w:lineRule="auto"/>
        <w:jc w:val="center"/>
        <w:rPr>
          <w:color w:val="0E101A"/>
        </w:rPr>
      </w:pPr>
      <w:r>
        <w:rPr>
          <w:color w:val="0E101A"/>
        </w:rPr>
        <w:t>Student's Name</w:t>
      </w:r>
    </w:p>
    <w:p w:rsidR="00A978C8" w:rsidRDefault="00A978C8" w:rsidP="00A978C8">
      <w:pPr>
        <w:pStyle w:val="NormalWeb"/>
        <w:spacing w:before="0" w:beforeAutospacing="0" w:after="0" w:afterAutospacing="0" w:line="480" w:lineRule="auto"/>
        <w:jc w:val="center"/>
        <w:rPr>
          <w:color w:val="0E101A"/>
        </w:rPr>
      </w:pPr>
      <w:r>
        <w:rPr>
          <w:color w:val="0E101A"/>
        </w:rPr>
        <w:t>College</w:t>
      </w:r>
    </w:p>
    <w:p w:rsidR="00A978C8" w:rsidRDefault="00A978C8" w:rsidP="00A978C8">
      <w:pPr>
        <w:pStyle w:val="NormalWeb"/>
        <w:spacing w:before="0" w:beforeAutospacing="0" w:after="0" w:afterAutospacing="0" w:line="480" w:lineRule="auto"/>
        <w:jc w:val="center"/>
        <w:rPr>
          <w:color w:val="0E101A"/>
        </w:rPr>
      </w:pPr>
      <w:r>
        <w:rPr>
          <w:color w:val="0E101A"/>
        </w:rPr>
        <w:t>Course Number and Name</w:t>
      </w:r>
    </w:p>
    <w:p w:rsidR="00A978C8" w:rsidRDefault="00A978C8" w:rsidP="00A978C8">
      <w:pPr>
        <w:pStyle w:val="NormalWeb"/>
        <w:spacing w:before="0" w:beforeAutospacing="0" w:after="0" w:afterAutospacing="0" w:line="480" w:lineRule="auto"/>
        <w:jc w:val="center"/>
        <w:rPr>
          <w:color w:val="0E101A"/>
        </w:rPr>
      </w:pPr>
      <w:r>
        <w:rPr>
          <w:color w:val="0E101A"/>
        </w:rPr>
        <w:t>Instructor's Name</w:t>
      </w:r>
    </w:p>
    <w:p w:rsidR="00A978C8" w:rsidRPr="00A978C8" w:rsidRDefault="00A978C8" w:rsidP="00A978C8">
      <w:pPr>
        <w:pStyle w:val="NormalWeb"/>
        <w:spacing w:before="0" w:beforeAutospacing="0" w:after="0" w:afterAutospacing="0" w:line="480" w:lineRule="auto"/>
        <w:jc w:val="center"/>
        <w:rPr>
          <w:color w:val="0E101A"/>
        </w:rPr>
      </w:pPr>
      <w:r>
        <w:rPr>
          <w:color w:val="0E101A"/>
        </w:rPr>
        <w:t>Assignment Due Date</w:t>
      </w:r>
    </w:p>
    <w:p w:rsidR="00A978C8" w:rsidRDefault="00A978C8">
      <w:pPr>
        <w:rPr>
          <w:rFonts w:ascii="Times New Roman" w:eastAsia="Times New Roman" w:hAnsi="Times New Roman" w:cs="Times New Roman"/>
          <w:b/>
          <w:bCs/>
          <w:color w:val="0E101A"/>
          <w:sz w:val="24"/>
          <w:szCs w:val="24"/>
        </w:rPr>
      </w:pPr>
      <w:r>
        <w:rPr>
          <w:rFonts w:ascii="Times New Roman" w:eastAsia="Times New Roman" w:hAnsi="Times New Roman" w:cs="Times New Roman"/>
          <w:b/>
          <w:bCs/>
          <w:color w:val="0E101A"/>
          <w:sz w:val="24"/>
          <w:szCs w:val="24"/>
        </w:rPr>
        <w:br w:type="page"/>
      </w:r>
    </w:p>
    <w:p w:rsidR="00A978C8" w:rsidRPr="00A978C8" w:rsidRDefault="00A978C8" w:rsidP="00A978C8">
      <w:pPr>
        <w:spacing w:after="0" w:line="480" w:lineRule="auto"/>
        <w:jc w:val="center"/>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lastRenderedPageBreak/>
        <w:t xml:space="preserve">Research </w:t>
      </w:r>
      <w:r>
        <w:rPr>
          <w:rFonts w:ascii="Times New Roman" w:eastAsia="Times New Roman" w:hAnsi="Times New Roman" w:cs="Times New Roman"/>
          <w:b/>
          <w:bCs/>
          <w:color w:val="0E101A"/>
          <w:sz w:val="24"/>
          <w:szCs w:val="24"/>
        </w:rPr>
        <w:t>on</w:t>
      </w:r>
      <w:r w:rsidRPr="00A978C8">
        <w:rPr>
          <w:rFonts w:ascii="Times New Roman" w:eastAsia="Times New Roman" w:hAnsi="Times New Roman" w:cs="Times New Roman"/>
          <w:b/>
          <w:bCs/>
          <w:color w:val="0E101A"/>
          <w:sz w:val="24"/>
          <w:szCs w:val="24"/>
        </w:rPr>
        <w:t xml:space="preserve"> Goodwill Impairment</w:t>
      </w:r>
    </w:p>
    <w:p w:rsidR="00A978C8" w:rsidRPr="00A978C8" w:rsidRDefault="00D73CE7" w:rsidP="00A978C8">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b/>
          <w:bCs/>
          <w:color w:val="0E101A"/>
          <w:sz w:val="24"/>
          <w:szCs w:val="24"/>
        </w:rPr>
        <w:t>A company with Simila</w:t>
      </w:r>
      <w:r w:rsidRPr="00A978C8">
        <w:rPr>
          <w:rFonts w:ascii="Times New Roman" w:eastAsia="Times New Roman" w:hAnsi="Times New Roman" w:cs="Times New Roman"/>
          <w:b/>
          <w:bCs/>
          <w:color w:val="0E101A"/>
          <w:sz w:val="24"/>
          <w:szCs w:val="24"/>
        </w:rPr>
        <w:t>r</w:t>
      </w:r>
      <w:r>
        <w:rPr>
          <w:rFonts w:ascii="Times New Roman" w:eastAsia="Times New Roman" w:hAnsi="Times New Roman" w:cs="Times New Roman"/>
          <w:b/>
          <w:bCs/>
          <w:color w:val="0E101A"/>
          <w:sz w:val="24"/>
          <w:szCs w:val="24"/>
        </w:rPr>
        <w:t xml:space="preserve"> Economic C</w:t>
      </w:r>
      <w:r w:rsidR="00A978C8" w:rsidRPr="00A978C8">
        <w:rPr>
          <w:rFonts w:ascii="Times New Roman" w:eastAsia="Times New Roman" w:hAnsi="Times New Roman" w:cs="Times New Roman"/>
          <w:b/>
          <w:bCs/>
          <w:color w:val="0E101A"/>
          <w:sz w:val="24"/>
          <w:szCs w:val="24"/>
        </w:rPr>
        <w:t>haracteristics</w:t>
      </w:r>
    </w:p>
    <w:p w:rsidR="00A978C8" w:rsidRDefault="00D73CE7" w:rsidP="00A978C8">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b/>
          <w:bCs/>
          <w:color w:val="0E101A"/>
          <w:sz w:val="24"/>
          <w:szCs w:val="24"/>
        </w:rPr>
        <w:t>The Nature of the Products and S</w:t>
      </w:r>
      <w:r w:rsidR="00A978C8" w:rsidRPr="00A978C8">
        <w:rPr>
          <w:rFonts w:ascii="Times New Roman" w:eastAsia="Times New Roman" w:hAnsi="Times New Roman" w:cs="Times New Roman"/>
          <w:b/>
          <w:bCs/>
          <w:color w:val="0E101A"/>
          <w:sz w:val="24"/>
          <w:szCs w:val="24"/>
        </w:rPr>
        <w:t>ervices</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The goods produced might resemble the manufacturer, but the company will standardize the quality to enable difference in these products according to ASC 350-20-35-36.</w:t>
      </w:r>
    </w:p>
    <w:p w:rsidR="00A978C8" w:rsidRPr="00A978C8" w:rsidRDefault="00D73CE7" w:rsidP="00A978C8">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b/>
          <w:bCs/>
          <w:color w:val="0E101A"/>
          <w:sz w:val="24"/>
          <w:szCs w:val="24"/>
        </w:rPr>
        <w:t>The Production Process's N</w:t>
      </w:r>
      <w:r w:rsidR="00A978C8" w:rsidRPr="00A978C8">
        <w:rPr>
          <w:rFonts w:ascii="Times New Roman" w:eastAsia="Times New Roman" w:hAnsi="Times New Roman" w:cs="Times New Roman"/>
          <w:b/>
          <w:bCs/>
          <w:color w:val="0E101A"/>
          <w:sz w:val="24"/>
          <w:szCs w:val="24"/>
        </w:rPr>
        <w:t>ature</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It is vital as it will make a difference in the quality and value of the goods produced. It will keep the production cost and lower the purchase of the goods desired. The type of customers for their products and services: The </w:t>
      </w:r>
      <w:bookmarkStart w:id="0" w:name="_GoBack"/>
      <w:bookmarkEnd w:id="0"/>
      <w:r w:rsidR="004E1E5C" w:rsidRPr="00A978C8">
        <w:rPr>
          <w:rFonts w:ascii="Times New Roman" w:eastAsia="Times New Roman" w:hAnsi="Times New Roman" w:cs="Times New Roman"/>
          <w:color w:val="0E101A"/>
          <w:sz w:val="24"/>
          <w:szCs w:val="24"/>
        </w:rPr>
        <w:t>Company</w:t>
      </w:r>
      <w:r w:rsidRPr="00A978C8">
        <w:rPr>
          <w:rFonts w:ascii="Times New Roman" w:eastAsia="Times New Roman" w:hAnsi="Times New Roman" w:cs="Times New Roman"/>
          <w:color w:val="0E101A"/>
          <w:sz w:val="24"/>
          <w:szCs w:val="24"/>
        </w:rPr>
        <w:t xml:space="preserve"> will have to learn its customers' demands. Doing so will have a piece of transparent and equitable information on the goods produced according to customers' needs concerning FASB ASC 350-20-35-35. The ways of distributing the products and services rendered: The </w:t>
      </w:r>
      <w:r w:rsidR="004E1E5C" w:rsidRPr="00A978C8">
        <w:rPr>
          <w:rFonts w:ascii="Times New Roman" w:eastAsia="Times New Roman" w:hAnsi="Times New Roman" w:cs="Times New Roman"/>
          <w:color w:val="0E101A"/>
          <w:sz w:val="24"/>
          <w:szCs w:val="24"/>
        </w:rPr>
        <w:t>Company</w:t>
      </w:r>
      <w:r w:rsidRPr="00A978C8">
        <w:rPr>
          <w:rFonts w:ascii="Times New Roman" w:eastAsia="Times New Roman" w:hAnsi="Times New Roman" w:cs="Times New Roman"/>
          <w:color w:val="0E101A"/>
          <w:sz w:val="24"/>
          <w:szCs w:val="24"/>
        </w:rPr>
        <w:t xml:space="preserve"> will look for appropriate means of transportation of the products to reach the customers on the field ASC 350-20-55-07. Goodwill will lay down foundation guidelines for the company being involved in enhancing sound performance between the companies that enter into the agreement and foster their relationship.</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External factors of large scale can lower the competitive status of a company and, in the long run, cannot exclude competitors from benefiting within the company. Moreover, to reduce the production and operation costs, external economies of large scale may also lower the company's fixed costs per unit as the operational efficiencies and adaptability to regulate the flow of goods produced 350-20-15-3A. However, the desire of which the two components are economically alike requires not to be limited to considering the issues described.</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lastRenderedPageBreak/>
        <w:t>In determining whether Goodwill should recombine the assets into one unit regarding their economic similarities, issues concerned should be taken care of in addition to those the company includes but does not hinder other factors.</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They include the following:</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Egalitarian:</w:t>
      </w:r>
      <w:r w:rsidRPr="00A978C8">
        <w:rPr>
          <w:rFonts w:ascii="Times New Roman" w:eastAsia="Times New Roman" w:hAnsi="Times New Roman" w:cs="Times New Roman"/>
          <w:color w:val="0E101A"/>
          <w:sz w:val="24"/>
          <w:szCs w:val="24"/>
        </w:rPr>
        <w:t> Every company business has an industry that enjoys these economies of factors equally and relative to its customers and the products in its market.</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Growth:</w:t>
      </w:r>
      <w:r w:rsidRPr="00A978C8">
        <w:rPr>
          <w:rFonts w:ascii="Times New Roman" w:eastAsia="Times New Roman" w:hAnsi="Times New Roman" w:cs="Times New Roman"/>
          <w:color w:val="0E101A"/>
          <w:sz w:val="24"/>
          <w:szCs w:val="24"/>
        </w:rPr>
        <w:t> External factors of significant scale can drive the company to great change in particular sections and motivate rapid economic development of partners companies and the entire market.</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Lower costs:</w:t>
      </w:r>
      <w:r w:rsidRPr="00A978C8">
        <w:rPr>
          <w:rFonts w:ascii="Times New Roman" w:eastAsia="Times New Roman" w:hAnsi="Times New Roman" w:cs="Times New Roman"/>
          <w:color w:val="0E101A"/>
          <w:sz w:val="24"/>
          <w:szCs w:val="24"/>
        </w:rPr>
        <w:t> Any large-scale economic factor will reduce its fixed cost per unit to lower production and operating costs.</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Lack of control:</w:t>
      </w:r>
      <w:r w:rsidRPr="00A978C8">
        <w:rPr>
          <w:rFonts w:ascii="Times New Roman" w:eastAsia="Times New Roman" w:hAnsi="Times New Roman" w:cs="Times New Roman"/>
          <w:color w:val="0E101A"/>
          <w:sz w:val="24"/>
          <w:szCs w:val="24"/>
        </w:rPr>
        <w:t> Individual entities have not been given direct orders over the company's external experiences. In particular, this implies that a company would not have a competitive as it cannot exclude competitors from benefiting from the company.</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Limited locations:</w:t>
      </w:r>
      <w:r w:rsidRPr="00A978C8">
        <w:rPr>
          <w:rFonts w:ascii="Times New Roman" w:eastAsia="Times New Roman" w:hAnsi="Times New Roman" w:cs="Times New Roman"/>
          <w:color w:val="0E101A"/>
          <w:sz w:val="24"/>
          <w:szCs w:val="24"/>
        </w:rPr>
        <w:t> External factors of large scale may develop quickly within one geographic area. It becomes challenging for companies in a particular industry to locate in another region due to the customers' needs.</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Company instability:</w:t>
      </w:r>
      <w:r w:rsidRPr="00A978C8">
        <w:rPr>
          <w:rFonts w:ascii="Times New Roman" w:eastAsia="Times New Roman" w:hAnsi="Times New Roman" w:cs="Times New Roman"/>
          <w:color w:val="0E101A"/>
          <w:sz w:val="24"/>
          <w:szCs w:val="24"/>
        </w:rPr>
        <w:t> A company might not be able to necessarily utilize the existing external resources because of internal defects, such as poor management and coordination within the company.</w:t>
      </w:r>
    </w:p>
    <w:p w:rsidR="00A978C8" w:rsidRPr="00A978C8" w:rsidRDefault="00D73CE7" w:rsidP="00A978C8">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b/>
          <w:bCs/>
          <w:color w:val="0E101A"/>
          <w:sz w:val="24"/>
          <w:szCs w:val="24"/>
        </w:rPr>
        <w:t>When the Company has no Similarity in Economic C</w:t>
      </w:r>
      <w:r w:rsidR="00A978C8" w:rsidRPr="00A978C8">
        <w:rPr>
          <w:rFonts w:ascii="Times New Roman" w:eastAsia="Times New Roman" w:hAnsi="Times New Roman" w:cs="Times New Roman"/>
          <w:b/>
          <w:bCs/>
          <w:color w:val="0E101A"/>
          <w:sz w:val="24"/>
          <w:szCs w:val="24"/>
        </w:rPr>
        <w:t>haracteristics</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Every Goodwill will provide regulations to AMMRC Inc. to prepare assessments that comply with the </w:t>
      </w:r>
      <w:r>
        <w:rPr>
          <w:rFonts w:ascii="Times New Roman" w:eastAsia="Times New Roman" w:hAnsi="Times New Roman" w:cs="Times New Roman"/>
          <w:color w:val="0E101A"/>
          <w:sz w:val="24"/>
          <w:szCs w:val="24"/>
        </w:rPr>
        <w:t xml:space="preserve">ASC </w:t>
      </w:r>
      <w:r w:rsidRPr="00A978C8">
        <w:rPr>
          <w:rFonts w:ascii="Times New Roman" w:eastAsia="Times New Roman" w:hAnsi="Times New Roman" w:cs="Times New Roman"/>
          <w:color w:val="0E101A"/>
          <w:sz w:val="24"/>
          <w:szCs w:val="24"/>
        </w:rPr>
        <w:t xml:space="preserve">350-20-15-3A topic. The company will also purchase some assets through the goodwill document only to meet its market demands. It will note that the production and the </w:t>
      </w:r>
      <w:r w:rsidRPr="00A978C8">
        <w:rPr>
          <w:rFonts w:ascii="Times New Roman" w:eastAsia="Times New Roman" w:hAnsi="Times New Roman" w:cs="Times New Roman"/>
          <w:color w:val="0E101A"/>
          <w:sz w:val="24"/>
          <w:szCs w:val="24"/>
        </w:rPr>
        <w:lastRenderedPageBreak/>
        <w:t xml:space="preserve">fixed costs will play a significant role when there is a decline in market value. The example of accessories goods will compel the AMMRC Inc. </w:t>
      </w:r>
      <w:proofErr w:type="gramStart"/>
      <w:r w:rsidRPr="00A978C8">
        <w:rPr>
          <w:rFonts w:ascii="Times New Roman" w:eastAsia="Times New Roman" w:hAnsi="Times New Roman" w:cs="Times New Roman"/>
          <w:color w:val="0E101A"/>
          <w:sz w:val="24"/>
          <w:szCs w:val="24"/>
        </w:rPr>
        <w:t>company</w:t>
      </w:r>
      <w:proofErr w:type="gramEnd"/>
      <w:r w:rsidRPr="00A978C8">
        <w:rPr>
          <w:rFonts w:ascii="Times New Roman" w:eastAsia="Times New Roman" w:hAnsi="Times New Roman" w:cs="Times New Roman"/>
          <w:color w:val="0E101A"/>
          <w:sz w:val="24"/>
          <w:szCs w:val="24"/>
        </w:rPr>
        <w:t xml:space="preserve"> to hire a technician specializing in that sector, ensuring the goods' good performance and well-being during the selling period.</w:t>
      </w:r>
    </w:p>
    <w:p w:rsidR="00A978C8" w:rsidRPr="00A978C8" w:rsidRDefault="00D73CE7" w:rsidP="00A978C8">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b/>
          <w:bCs/>
          <w:color w:val="0E101A"/>
          <w:sz w:val="24"/>
          <w:szCs w:val="24"/>
        </w:rPr>
        <w:t>When the Company is P</w:t>
      </w:r>
      <w:r w:rsidR="00A978C8" w:rsidRPr="00A978C8">
        <w:rPr>
          <w:rFonts w:ascii="Times New Roman" w:eastAsia="Times New Roman" w:hAnsi="Times New Roman" w:cs="Times New Roman"/>
          <w:b/>
          <w:bCs/>
          <w:color w:val="0E101A"/>
          <w:sz w:val="24"/>
          <w:szCs w:val="24"/>
        </w:rPr>
        <w:t>ublic</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The company non-benefit uses Goodwill to have a claim according to </w:t>
      </w:r>
      <w:r>
        <w:rPr>
          <w:rFonts w:ascii="Times New Roman" w:eastAsia="Times New Roman" w:hAnsi="Times New Roman" w:cs="Times New Roman"/>
          <w:color w:val="0E101A"/>
          <w:sz w:val="24"/>
          <w:szCs w:val="24"/>
        </w:rPr>
        <w:t xml:space="preserve">(ASC </w:t>
      </w:r>
      <w:r w:rsidRPr="00A978C8">
        <w:rPr>
          <w:rFonts w:ascii="Times New Roman" w:eastAsia="Times New Roman" w:hAnsi="Times New Roman" w:cs="Times New Roman"/>
          <w:color w:val="0E101A"/>
          <w:sz w:val="24"/>
          <w:szCs w:val="24"/>
        </w:rPr>
        <w:t>350-20-40-7</w:t>
      </w:r>
      <w:r>
        <w:rPr>
          <w:rFonts w:ascii="Times New Roman" w:eastAsia="Times New Roman" w:hAnsi="Times New Roman" w:cs="Times New Roman"/>
          <w:color w:val="0E101A"/>
          <w:sz w:val="24"/>
          <w:szCs w:val="24"/>
        </w:rPr>
        <w:t xml:space="preserve">, FASB </w:t>
      </w:r>
      <w:proofErr w:type="spellStart"/>
      <w:r>
        <w:rPr>
          <w:rFonts w:ascii="Times New Roman" w:eastAsia="Times New Roman" w:hAnsi="Times New Roman" w:cs="Times New Roman"/>
          <w:color w:val="0E101A"/>
          <w:sz w:val="24"/>
          <w:szCs w:val="24"/>
        </w:rPr>
        <w:t>n.d.</w:t>
      </w:r>
      <w:proofErr w:type="spellEnd"/>
      <w:r>
        <w:rPr>
          <w:rFonts w:ascii="Times New Roman" w:eastAsia="Times New Roman" w:hAnsi="Times New Roman" w:cs="Times New Roman"/>
          <w:color w:val="0E101A"/>
          <w:sz w:val="24"/>
          <w:szCs w:val="24"/>
        </w:rPr>
        <w:t>)</w:t>
      </w:r>
      <w:r w:rsidRPr="00A978C8">
        <w:rPr>
          <w:rFonts w:ascii="Times New Roman" w:eastAsia="Times New Roman" w:hAnsi="Times New Roman" w:cs="Times New Roman"/>
          <w:color w:val="0E101A"/>
          <w:sz w:val="24"/>
          <w:szCs w:val="24"/>
        </w:rPr>
        <w:t>. When the Goodwill part is implemented in a company or non-profit event to be resolved, the Goodwill will remain in the amount of the critical unit to be maintained and shall be assessed for impairment following 350-20-35-3 A by using 35-13 on its elevating carrying value</w:t>
      </w:r>
    </w:p>
    <w:p w:rsidR="00A978C8" w:rsidRPr="00A978C8" w:rsidRDefault="00D73CE7" w:rsidP="00A978C8">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b/>
          <w:bCs/>
          <w:color w:val="0E101A"/>
          <w:sz w:val="24"/>
          <w:szCs w:val="24"/>
        </w:rPr>
        <w:t>When the Company is P</w:t>
      </w:r>
      <w:r w:rsidR="00A978C8" w:rsidRPr="00A978C8">
        <w:rPr>
          <w:rFonts w:ascii="Times New Roman" w:eastAsia="Times New Roman" w:hAnsi="Times New Roman" w:cs="Times New Roman"/>
          <w:b/>
          <w:bCs/>
          <w:color w:val="0E101A"/>
          <w:sz w:val="24"/>
          <w:szCs w:val="24"/>
        </w:rPr>
        <w:t>rivate</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The company uses Goodwill according to 350-20-15-4 for a non-public company or non-beneficiaries’ organization, which may come up with an accounting process.</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Regulations for selection to be used in the accounting ways for harmonizing Goodwill. The guidance provides in the alternative accounting sections that apply to the following transfer of cash or assets:</w:t>
      </w:r>
    </w:p>
    <w:p w:rsidR="00A978C8" w:rsidRPr="00A978C8" w:rsidRDefault="00A978C8" w:rsidP="00A978C8">
      <w:pPr>
        <w:numPr>
          <w:ilvl w:val="0"/>
          <w:numId w:val="1"/>
        </w:numPr>
        <w:spacing w:after="0" w:line="480" w:lineRule="auto"/>
        <w:ind w:left="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Goodwill which a company acknowledges in matters regarding business that complies according to the concern 805-30 /in an acquired by a non-benefiting company concerning issue 958-805 after it has been first determined its value.</w:t>
      </w:r>
    </w:p>
    <w:p w:rsidR="00A978C8" w:rsidRPr="00A978C8" w:rsidRDefault="00A978C8" w:rsidP="00A978C8">
      <w:pPr>
        <w:numPr>
          <w:ilvl w:val="0"/>
          <w:numId w:val="1"/>
        </w:numPr>
        <w:spacing w:after="0" w:line="480" w:lineRule="auto"/>
        <w:ind w:left="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Amounts are acknowledged as Goodwill when applied to the equality procedure of accounting that follows the topic 323 on investments.</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A private company or non-benefiting company, according to ASC 350-20-15-4, may choose to create an accounting guidelines selection to the accounting for a goodwill impairment that will trigger activity Goodwill evaluation subsequently as depicted in section 350-20.</w:t>
      </w:r>
      <w:r>
        <w:rPr>
          <w:rFonts w:ascii="Times New Roman" w:eastAsia="Times New Roman" w:hAnsi="Times New Roman" w:cs="Times New Roman"/>
          <w:color w:val="0E101A"/>
          <w:sz w:val="24"/>
          <w:szCs w:val="24"/>
        </w:rPr>
        <w:t xml:space="preserve"> </w:t>
      </w:r>
      <w:r w:rsidRPr="00A978C8">
        <w:rPr>
          <w:rFonts w:ascii="Times New Roman" w:eastAsia="Times New Roman" w:hAnsi="Times New Roman" w:cs="Times New Roman"/>
          <w:color w:val="0E101A"/>
          <w:sz w:val="24"/>
          <w:szCs w:val="24"/>
        </w:rPr>
        <w:t xml:space="preserve">The </w:t>
      </w:r>
      <w:r w:rsidRPr="00A978C8">
        <w:rPr>
          <w:rFonts w:ascii="Times New Roman" w:eastAsia="Times New Roman" w:hAnsi="Times New Roman" w:cs="Times New Roman"/>
          <w:color w:val="0E101A"/>
          <w:sz w:val="24"/>
          <w:szCs w:val="24"/>
        </w:rPr>
        <w:lastRenderedPageBreak/>
        <w:t xml:space="preserve">company under 350-20-15-5 </w:t>
      </w:r>
      <w:proofErr w:type="gramStart"/>
      <w:r w:rsidRPr="00A978C8">
        <w:rPr>
          <w:rFonts w:ascii="Times New Roman" w:eastAsia="Times New Roman" w:hAnsi="Times New Roman" w:cs="Times New Roman"/>
          <w:color w:val="0E101A"/>
          <w:sz w:val="24"/>
          <w:szCs w:val="24"/>
        </w:rPr>
        <w:t>An</w:t>
      </w:r>
      <w:proofErr w:type="gramEnd"/>
      <w:r w:rsidRPr="00A978C8">
        <w:rPr>
          <w:rFonts w:ascii="Times New Roman" w:eastAsia="Times New Roman" w:hAnsi="Times New Roman" w:cs="Times New Roman"/>
          <w:color w:val="0E101A"/>
          <w:sz w:val="24"/>
          <w:szCs w:val="24"/>
        </w:rPr>
        <w:t xml:space="preserve"> entity within the scope 350-20-15-4/4A as the paragraph that appears before selects the accounting alternative for harmonizing Goodwill or the different accounting ways. Therefore, the goodwill impairment that triggers activities evaluation shall apply to issues concerning measuring, recognizing, other disclosure requirements, and presentable matters during selection. Once an entity selects the accounting method, it shall apply to the different policies used in financial reporting. Therefore, Goodwill tends to recognize the future cash transfers within the company.</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Selecting accounting alternatives</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When considering the case of accounting alternatives, Goodwill should look for an investor who purchases a small amount of </w:t>
      </w:r>
      <w:proofErr w:type="gramStart"/>
      <w:r w:rsidRPr="00A978C8">
        <w:rPr>
          <w:rFonts w:ascii="Times New Roman" w:eastAsia="Times New Roman" w:hAnsi="Times New Roman" w:cs="Times New Roman"/>
          <w:color w:val="0E101A"/>
          <w:sz w:val="24"/>
          <w:szCs w:val="24"/>
        </w:rPr>
        <w:t>goods company</w:t>
      </w:r>
      <w:proofErr w:type="gramEnd"/>
      <w:r w:rsidRPr="00A978C8">
        <w:rPr>
          <w:rFonts w:ascii="Times New Roman" w:eastAsia="Times New Roman" w:hAnsi="Times New Roman" w:cs="Times New Roman"/>
          <w:color w:val="0E101A"/>
          <w:sz w:val="24"/>
          <w:szCs w:val="24"/>
        </w:rPr>
        <w:t xml:space="preserve"> that is very conversant in their local market. Although the company will only have its net assets of $ 5,000,000, the investor will agree to pay $15,000,000 for the company, resulting in $20,000,000 of Goodwill being recognized in the balance sheet details. In explaining this decision, the investor could highlight the strong concerning following of the company as a critical clarification for the Goodwill that they will pay attention to. If, however, the value of that assets were to reduce, they may need to change some of the Goodwill shown as future guidelines. When the company Goodwill does not show out the choice of electing accounting alternatives, it will give out some guidelines to be adhered to by other companies.</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Goodwill will brief on an assessment sheet when two parties complete the goodwill check-up. When a company acquires another asset, something that is payable above or beyond the fixed cost of the targeted assets, it will result in Goodwill on the balance sheet. The company (AMMRC Inc.) will sell an asset for $15,000,000; it had products worth $20,000,000 and </w:t>
      </w:r>
      <w:r w:rsidRPr="00A978C8">
        <w:rPr>
          <w:rFonts w:ascii="Times New Roman" w:eastAsia="Times New Roman" w:hAnsi="Times New Roman" w:cs="Times New Roman"/>
          <w:color w:val="0E101A"/>
          <w:sz w:val="24"/>
          <w:szCs w:val="24"/>
        </w:rPr>
        <w:lastRenderedPageBreak/>
        <w:t>liabilities of $8,000,000. The sum of $1,000,000, which was to be paid over (the cost of the entities minus the liabilities), is the value of Goodwill.</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When the company has triggering events to incur</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FASB 350-20-05-4A provides standard information that gives an alternative to goodwill impairment triggering event testing for private companies. Under the option, private companies and non-beneficiaries will choose to perform Goodwill initiating activities and any out coming to assess for goodwill impairment within the final reporting duration on an annual basis. Private companies and non-beneficiaries that elect this another way will no longer be required to perform this test during a reporting duration according to 350-20-05-5A. The alternative will be realized after questions arise concerning the cost of standardizing a triggering event at a specific date during a reporting time when certain companies and non-beneficiaries only issue GAAP-compliant financial details every year.</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They arise issues concerning the cost and complexity of coming up with interim balance sheets and laying out procedures on cash flows that might not be significant during the reporting session. Under the current, Goodwill should be assessed to be impaired when there is a triggering event occurring, which shows that it by high chance that the affordable cost of the reporting section is lowered its valuable price. Companies and organizations will be needed to check for and increase the Goodwill triggering activities when they happen annually concerning 350-20-35-28 through 35-32. When AMMRC Inc. It does not have triggering events to take place. It will try to illustrate on its Goodwill to other companies like the (AMMRC) that it will not offer that activity as its assets to make certain equitable information as per the Goodwill which is handed over to other companies. The developed policy under Goodwill document to outline qualitative </w:t>
      </w:r>
      <w:r w:rsidRPr="00A978C8">
        <w:rPr>
          <w:rFonts w:ascii="Times New Roman" w:eastAsia="Times New Roman" w:hAnsi="Times New Roman" w:cs="Times New Roman"/>
          <w:color w:val="0E101A"/>
          <w:sz w:val="24"/>
          <w:szCs w:val="24"/>
        </w:rPr>
        <w:lastRenderedPageBreak/>
        <w:t>impairment assessment based on the moments of the first financial investment for the fiscal year and to be concluded in every year that the Goodwill was meant to last.</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PART 2</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Justification opinion on the related goodwill impairment</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The company has similar economic characteristics</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The company should present its potential users with unbiased information provided by financial report to a particular non-business organization that shares with it a similar interest to the information regarding the services handed by the non-business companies, its efficiency and its effectiveness to provide these services, and its capability to proceed in providing these services assets. However, certain users from both public and non-public and non-benefit customers will provide financial statements to its leaders and stakeholders interested in a non-benefit ability to repay their debt. In some cases, if any, the customer is interested in giving value to an asset so that equity stakeholders with the company's entities shoul</w:t>
      </w:r>
      <w:r>
        <w:rPr>
          <w:rFonts w:ascii="Times New Roman" w:eastAsia="Times New Roman" w:hAnsi="Times New Roman" w:cs="Times New Roman"/>
          <w:color w:val="0E101A"/>
          <w:sz w:val="24"/>
          <w:szCs w:val="24"/>
        </w:rPr>
        <w:t>d be given a chance to the duty.</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When the company is public or private</w:t>
      </w:r>
    </w:p>
    <w:p w:rsidR="00A978C8" w:rsidRPr="00A978C8" w:rsidRDefault="00A978C8" w:rsidP="00A978C8">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One respondent from AMMRC Inc. suggests that conduit bond obligators be excluded from any obligation accounting and should keep consistent with the public company's assets. The company ensures that, in general, according to </w:t>
      </w:r>
      <w:r>
        <w:rPr>
          <w:rFonts w:ascii="Times New Roman" w:eastAsia="Times New Roman" w:hAnsi="Times New Roman" w:cs="Times New Roman"/>
          <w:color w:val="0E101A"/>
          <w:sz w:val="24"/>
          <w:szCs w:val="24"/>
        </w:rPr>
        <w:t xml:space="preserve">ASC </w:t>
      </w:r>
      <w:r w:rsidRPr="00A978C8">
        <w:rPr>
          <w:rFonts w:ascii="Times New Roman" w:eastAsia="Times New Roman" w:hAnsi="Times New Roman" w:cs="Times New Roman"/>
          <w:color w:val="0E101A"/>
          <w:sz w:val="24"/>
          <w:szCs w:val="24"/>
        </w:rPr>
        <w:t xml:space="preserve">350-20-35-68, all non-beneficiaries conduit bond with stakeholders, similarly to private company stakeholders, and are meant to be more interested in issues concerning solving financial and arrears repayment. Therefore, the company finalizes that non-beneficiary individuals will have bond obligations, like other non-beneficiary assets, would have the choice of benefit-cost that is affordable from the different ways even if the conductive bond obligation debt is traded in public markets </w:t>
      </w:r>
      <w:r>
        <w:rPr>
          <w:rFonts w:ascii="Times New Roman" w:eastAsia="Times New Roman" w:hAnsi="Times New Roman" w:cs="Times New Roman"/>
          <w:color w:val="0E101A"/>
          <w:sz w:val="24"/>
          <w:szCs w:val="24"/>
        </w:rPr>
        <w:t xml:space="preserve">ASC </w:t>
      </w:r>
      <w:r w:rsidRPr="00A978C8">
        <w:rPr>
          <w:rFonts w:ascii="Times New Roman" w:eastAsia="Times New Roman" w:hAnsi="Times New Roman" w:cs="Times New Roman"/>
          <w:color w:val="0E101A"/>
          <w:sz w:val="24"/>
          <w:szCs w:val="24"/>
        </w:rPr>
        <w:t xml:space="preserve">350-20-35-69. To achieve </w:t>
      </w:r>
      <w:r w:rsidRPr="00A978C8">
        <w:rPr>
          <w:rFonts w:ascii="Times New Roman" w:eastAsia="Times New Roman" w:hAnsi="Times New Roman" w:cs="Times New Roman"/>
          <w:color w:val="0E101A"/>
          <w:sz w:val="24"/>
          <w:szCs w:val="24"/>
        </w:rPr>
        <w:lastRenderedPageBreak/>
        <w:t>comparability within non-beneficiaries’ entities that select to apply to the accounting alternative in lying with the topic 350, the company will finalize that the subsequent measurement, other presentation issues, recognition, and essential requirements should be applicable together not personal. To reach the comparability goals among NFP entities, the chosen accounting alternative should adhere to the accounting standards operating within the organization.</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When the company elects an accounting alternative</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The accounting alternatives 350-20-05-5 will provide guidelines for the following assets:</w:t>
      </w:r>
    </w:p>
    <w:p w:rsidR="00A978C8" w:rsidRPr="00A978C8" w:rsidRDefault="00A978C8" w:rsidP="00A978C8">
      <w:pPr>
        <w:numPr>
          <w:ilvl w:val="0"/>
          <w:numId w:val="2"/>
        </w:numPr>
        <w:spacing w:after="0" w:line="480" w:lineRule="auto"/>
        <w:ind w:left="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Some assets included in ASC 350-20-15-4 select the financial variable to harmonize Goodwill. When selected, this accounting variables accepts a business eligibility to harmonize Goodwill. Therefore, indicating that the Goodwill impairment lies within the facilitating activity.</w:t>
      </w:r>
    </w:p>
    <w:p w:rsidR="00A978C8" w:rsidRPr="00A978C8" w:rsidRDefault="00A978C8" w:rsidP="00A978C8">
      <w:pPr>
        <w:numPr>
          <w:ilvl w:val="0"/>
          <w:numId w:val="2"/>
        </w:numPr>
        <w:spacing w:after="0" w:line="480" w:lineRule="auto"/>
        <w:ind w:left="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A given business operating within the overview of ASC 350-20-15-4 selects the financial reporting with the object of enhancing a goodwill impairment activity.</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When selected, this accounting alternative gives the opportunity for an eligible entity to evaluate goodwill impairment triggering assets at the end of every reporting duration.</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The Goodwill, per 350-20-05-6, the assets should have progressed to be in line with the applicable requirements in topic 350 for other accounting that gives issues concerning Goodwill impairment that are excluded in accounting alternatives.</w:t>
      </w:r>
    </w:p>
    <w:p w:rsidR="00A978C8" w:rsidRPr="00A978C8" w:rsidRDefault="00A978C8" w:rsidP="00A978C8">
      <w:pPr>
        <w:spacing w:after="0" w:line="480" w:lineRule="auto"/>
        <w:rPr>
          <w:rFonts w:ascii="Times New Roman" w:eastAsia="Times New Roman" w:hAnsi="Times New Roman" w:cs="Times New Roman"/>
          <w:color w:val="0E101A"/>
          <w:sz w:val="24"/>
          <w:szCs w:val="24"/>
        </w:rPr>
      </w:pPr>
      <w:r w:rsidRPr="00A978C8">
        <w:rPr>
          <w:rFonts w:ascii="Times New Roman" w:eastAsia="Times New Roman" w:hAnsi="Times New Roman" w:cs="Times New Roman"/>
          <w:b/>
          <w:bCs/>
          <w:color w:val="0E101A"/>
          <w:sz w:val="24"/>
          <w:szCs w:val="24"/>
        </w:rPr>
        <w:t>When the company has a triggering event, occur </w:t>
      </w:r>
    </w:p>
    <w:p w:rsidR="00A978C8" w:rsidRPr="00A978C8" w:rsidRDefault="00A978C8" w:rsidP="00BB59CF">
      <w:pPr>
        <w:spacing w:after="0" w:line="480" w:lineRule="auto"/>
        <w:ind w:firstLine="720"/>
        <w:rPr>
          <w:rFonts w:ascii="Times New Roman" w:eastAsia="Times New Roman" w:hAnsi="Times New Roman" w:cs="Times New Roman"/>
          <w:color w:val="0E101A"/>
          <w:sz w:val="24"/>
          <w:szCs w:val="24"/>
        </w:rPr>
      </w:pPr>
      <w:r w:rsidRPr="00A978C8">
        <w:rPr>
          <w:rFonts w:ascii="Times New Roman" w:eastAsia="Times New Roman" w:hAnsi="Times New Roman" w:cs="Times New Roman"/>
          <w:color w:val="0E101A"/>
          <w:sz w:val="24"/>
          <w:szCs w:val="24"/>
        </w:rPr>
        <w:t xml:space="preserve">The AMMRC Inc., concerning </w:t>
      </w:r>
      <w:r w:rsidR="00BB59CF">
        <w:rPr>
          <w:rFonts w:ascii="Times New Roman" w:eastAsia="Times New Roman" w:hAnsi="Times New Roman" w:cs="Times New Roman"/>
          <w:color w:val="0E101A"/>
          <w:sz w:val="24"/>
          <w:szCs w:val="24"/>
        </w:rPr>
        <w:t>ASC</w:t>
      </w:r>
      <w:r w:rsidRPr="00A978C8">
        <w:rPr>
          <w:rFonts w:ascii="Times New Roman" w:eastAsia="Times New Roman" w:hAnsi="Times New Roman" w:cs="Times New Roman"/>
          <w:color w:val="0E101A"/>
          <w:sz w:val="24"/>
          <w:szCs w:val="24"/>
        </w:rPr>
        <w:t xml:space="preserve">350-20-55-27, shows the validity and the financial report in different ways concerning goodwill impairment facilitating activity on the impairment conclusiveness for businesses (ASC 350-20-15-4, FABS </w:t>
      </w:r>
      <w:proofErr w:type="spellStart"/>
      <w:r w:rsidRPr="00A978C8">
        <w:rPr>
          <w:rFonts w:ascii="Times New Roman" w:eastAsia="Times New Roman" w:hAnsi="Times New Roman" w:cs="Times New Roman"/>
          <w:color w:val="0E101A"/>
          <w:sz w:val="24"/>
          <w:szCs w:val="24"/>
        </w:rPr>
        <w:t>n.d.</w:t>
      </w:r>
      <w:proofErr w:type="spellEnd"/>
      <w:r w:rsidRPr="00A978C8">
        <w:rPr>
          <w:rFonts w:ascii="Times New Roman" w:eastAsia="Times New Roman" w:hAnsi="Times New Roman" w:cs="Times New Roman"/>
          <w:color w:val="0E101A"/>
          <w:sz w:val="24"/>
          <w:szCs w:val="24"/>
        </w:rPr>
        <w:t xml:space="preserve">). An entity will have adopted the accounting alternative for a goodwill impairment aiming at event evaluation which is performed </w:t>
      </w:r>
      <w:r w:rsidRPr="00A978C8">
        <w:rPr>
          <w:rFonts w:ascii="Times New Roman" w:eastAsia="Times New Roman" w:hAnsi="Times New Roman" w:cs="Times New Roman"/>
          <w:color w:val="0E101A"/>
          <w:sz w:val="24"/>
          <w:szCs w:val="24"/>
        </w:rPr>
        <w:lastRenderedPageBreak/>
        <w:t>at the end of each financial period. In the second phase process, the company might lose a significant customer relationship.</w:t>
      </w:r>
    </w:p>
    <w:p w:rsidR="00A978C8" w:rsidRDefault="00A978C8" w:rsidP="00A978C8">
      <w:pPr>
        <w:spacing w:after="0" w:line="480" w:lineRule="auto"/>
        <w:rPr>
          <w:rFonts w:ascii="Times New Roman" w:eastAsia="Times New Roman" w:hAnsi="Times New Roman" w:cs="Times New Roman"/>
          <w:b/>
          <w:bCs/>
          <w:color w:val="0E101A"/>
          <w:sz w:val="24"/>
          <w:szCs w:val="24"/>
        </w:rPr>
      </w:pPr>
      <w:r w:rsidRPr="00A978C8">
        <w:rPr>
          <w:rFonts w:ascii="Times New Roman" w:eastAsia="Times New Roman" w:hAnsi="Times New Roman" w:cs="Times New Roman"/>
          <w:b/>
          <w:bCs/>
          <w:color w:val="0E101A"/>
          <w:sz w:val="24"/>
          <w:szCs w:val="24"/>
        </w:rPr>
        <w:t>Goodwill impairment loss</w:t>
      </w:r>
    </w:p>
    <w:p w:rsidR="00A978C8" w:rsidRDefault="00A978C8" w:rsidP="00A978C8">
      <w:pPr>
        <w:spacing w:after="0" w:line="480" w:lineRule="auto"/>
        <w:rPr>
          <w:rFonts w:ascii="Times New Roman" w:hAnsi="Times New Roman" w:cs="Times New Roman"/>
          <w:b/>
          <w:sz w:val="24"/>
          <w:szCs w:val="24"/>
        </w:rPr>
      </w:pPr>
      <w:r>
        <w:rPr>
          <w:rFonts w:ascii="Times New Roman" w:hAnsi="Times New Roman" w:cs="Times New Roman"/>
          <w:b/>
          <w:sz w:val="24"/>
          <w:szCs w:val="24"/>
        </w:rPr>
        <w:br w:type="page"/>
      </w:r>
    </w:p>
    <w:p w:rsidR="00A978C8" w:rsidRPr="00A978C8" w:rsidRDefault="00A978C8" w:rsidP="00A978C8">
      <w:pPr>
        <w:spacing w:after="0" w:line="480" w:lineRule="auto"/>
        <w:jc w:val="center"/>
        <w:rPr>
          <w:rFonts w:ascii="Times New Roman" w:hAnsi="Times New Roman" w:cs="Times New Roman"/>
          <w:b/>
          <w:sz w:val="24"/>
          <w:szCs w:val="24"/>
        </w:rPr>
      </w:pPr>
      <w:r w:rsidRPr="00A978C8">
        <w:rPr>
          <w:rFonts w:ascii="Times New Roman" w:hAnsi="Times New Roman" w:cs="Times New Roman"/>
          <w:b/>
          <w:sz w:val="24"/>
          <w:szCs w:val="24"/>
        </w:rPr>
        <w:lastRenderedPageBreak/>
        <w:t>References</w:t>
      </w:r>
    </w:p>
    <w:p w:rsidR="00A978C8" w:rsidRDefault="00A978C8" w:rsidP="00C73BD8">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FASB (</w:t>
      </w:r>
      <w:proofErr w:type="spellStart"/>
      <w:r>
        <w:rPr>
          <w:rFonts w:ascii="Times New Roman" w:hAnsi="Times New Roman" w:cs="Times New Roman"/>
          <w:sz w:val="24"/>
          <w:szCs w:val="24"/>
        </w:rPr>
        <w:t>n.d.</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350 – Goodwill impairment recognition.</w:t>
      </w:r>
      <w:r>
        <w:rPr>
          <w:rFonts w:ascii="Times New Roman" w:hAnsi="Times New Roman" w:cs="Times New Roman"/>
          <w:sz w:val="24"/>
          <w:szCs w:val="24"/>
        </w:rPr>
        <w:t xml:space="preserve"> Retrieved from: </w:t>
      </w:r>
    </w:p>
    <w:p w:rsidR="00A978C8" w:rsidRDefault="00A978C8" w:rsidP="00C73BD8">
      <w:pPr>
        <w:spacing w:after="0" w:line="480" w:lineRule="auto"/>
        <w:ind w:left="720" w:hanging="720"/>
        <w:rPr>
          <w:rFonts w:ascii="Times New Roman" w:hAnsi="Times New Roman" w:cs="Times New Roman"/>
          <w:sz w:val="24"/>
          <w:szCs w:val="24"/>
        </w:rPr>
      </w:pPr>
      <w:r w:rsidRPr="00685B27">
        <w:rPr>
          <w:rFonts w:ascii="Times New Roman" w:hAnsi="Times New Roman" w:cs="Times New Roman"/>
          <w:sz w:val="24"/>
          <w:szCs w:val="24"/>
        </w:rPr>
        <w:t>https://asc.fasb.org/section&amp;trid=49130398#SL49130621-203046-203046</w:t>
      </w:r>
    </w:p>
    <w:p w:rsidR="00A978C8" w:rsidRPr="00634B9A" w:rsidRDefault="00A978C8" w:rsidP="00C73BD8">
      <w:pPr>
        <w:spacing w:after="0" w:line="480" w:lineRule="auto"/>
        <w:ind w:left="720" w:hanging="720"/>
        <w:rPr>
          <w:rFonts w:ascii="Times New Roman" w:hAnsi="Times New Roman"/>
          <w:color w:val="000000"/>
          <w:sz w:val="24"/>
          <w:szCs w:val="24"/>
        </w:rPr>
      </w:pPr>
      <w:r>
        <w:rPr>
          <w:rFonts w:ascii="Times New Roman" w:hAnsi="Times New Roman"/>
          <w:color w:val="000000"/>
          <w:sz w:val="24"/>
          <w:szCs w:val="24"/>
        </w:rPr>
        <w:t xml:space="preserve">FASB (2022). </w:t>
      </w:r>
      <w:r w:rsidRPr="00685B27">
        <w:rPr>
          <w:rFonts w:ascii="Times New Roman" w:hAnsi="Times New Roman"/>
          <w:i/>
          <w:iCs/>
          <w:color w:val="000000"/>
          <w:sz w:val="24"/>
          <w:szCs w:val="24"/>
        </w:rPr>
        <w:t>Revenue Recognition.</w:t>
      </w:r>
      <w:r w:rsidRPr="00634B9A">
        <w:rPr>
          <w:rFonts w:ascii="Times New Roman" w:hAnsi="Times New Roman"/>
          <w:color w:val="000000"/>
          <w:sz w:val="24"/>
          <w:szCs w:val="24"/>
        </w:rPr>
        <w:t xml:space="preserve"> Retrieved 27 March 2022, from https://fasb.org/page/PageContent?pageId=/standards/implementing/revrec.html&amp;bcpath=tff#section-3</w:t>
      </w:r>
    </w:p>
    <w:p w:rsidR="00A978C8" w:rsidRPr="00A978C8" w:rsidRDefault="00A978C8" w:rsidP="00C73BD8">
      <w:pPr>
        <w:spacing w:after="0" w:line="480" w:lineRule="auto"/>
        <w:ind w:left="720" w:hanging="720"/>
        <w:rPr>
          <w:rFonts w:ascii="Times New Roman" w:eastAsia="Times New Roman" w:hAnsi="Times New Roman" w:cs="Times New Roman"/>
          <w:color w:val="0E101A"/>
          <w:sz w:val="24"/>
          <w:szCs w:val="24"/>
        </w:rPr>
      </w:pPr>
    </w:p>
    <w:p w:rsidR="000E7E33" w:rsidRDefault="000E7E33" w:rsidP="00A978C8">
      <w:pPr>
        <w:spacing w:after="0" w:line="480" w:lineRule="auto"/>
      </w:pPr>
    </w:p>
    <w:sectPr w:rsidR="000E7E33">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DB4" w:rsidRDefault="00F24DB4" w:rsidP="00A978C8">
      <w:pPr>
        <w:spacing w:after="0" w:line="240" w:lineRule="auto"/>
      </w:pPr>
      <w:r>
        <w:separator/>
      </w:r>
    </w:p>
  </w:endnote>
  <w:endnote w:type="continuationSeparator" w:id="0">
    <w:p w:rsidR="00F24DB4" w:rsidRDefault="00F24DB4" w:rsidP="00A97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DB4" w:rsidRDefault="00F24DB4" w:rsidP="00A978C8">
      <w:pPr>
        <w:spacing w:after="0" w:line="240" w:lineRule="auto"/>
      </w:pPr>
      <w:r>
        <w:separator/>
      </w:r>
    </w:p>
  </w:footnote>
  <w:footnote w:type="continuationSeparator" w:id="0">
    <w:p w:rsidR="00F24DB4" w:rsidRDefault="00F24DB4" w:rsidP="00A978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8C8" w:rsidRDefault="00A978C8">
    <w:pPr>
      <w:pStyle w:val="Header"/>
    </w:pPr>
  </w:p>
  <w:p w:rsidR="00A978C8" w:rsidRDefault="00A978C8">
    <w:pPr>
      <w:pStyle w:val="Header"/>
    </w:pPr>
    <w:r>
      <w:tab/>
    </w:r>
    <w:r>
      <w:tab/>
    </w:r>
    <w:r>
      <w:fldChar w:fldCharType="begin"/>
    </w:r>
    <w:r>
      <w:instrText xml:space="preserve"> PAGE   \* MERGEFORMAT </w:instrText>
    </w:r>
    <w:r>
      <w:fldChar w:fldCharType="separate"/>
    </w:r>
    <w:r w:rsidR="004E1E5C">
      <w:rPr>
        <w:noProof/>
      </w:rPr>
      <w:t>10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10714"/>
    <w:multiLevelType w:val="multilevel"/>
    <w:tmpl w:val="6F0A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AD3F3A"/>
    <w:multiLevelType w:val="multilevel"/>
    <w:tmpl w:val="864C8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8C8"/>
    <w:rsid w:val="000E7E33"/>
    <w:rsid w:val="004E1E5C"/>
    <w:rsid w:val="00544F08"/>
    <w:rsid w:val="00A978C8"/>
    <w:rsid w:val="00BB59CF"/>
    <w:rsid w:val="00C73BD8"/>
    <w:rsid w:val="00D73CE7"/>
    <w:rsid w:val="00F24DB4"/>
    <w:rsid w:val="00F93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3F874-34EE-403A-8CD0-A4108338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78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8C8"/>
  </w:style>
  <w:style w:type="paragraph" w:styleId="Footer">
    <w:name w:val="footer"/>
    <w:basedOn w:val="Normal"/>
    <w:link w:val="FooterChar"/>
    <w:uiPriority w:val="99"/>
    <w:unhideWhenUsed/>
    <w:rsid w:val="00A978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8C8"/>
  </w:style>
  <w:style w:type="paragraph" w:styleId="NormalWeb">
    <w:name w:val="Normal (Web)"/>
    <w:basedOn w:val="Normal"/>
    <w:uiPriority w:val="99"/>
    <w:unhideWhenUsed/>
    <w:rsid w:val="00A978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90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1969</Words>
  <Characters>11227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3</cp:revision>
  <dcterms:created xsi:type="dcterms:W3CDTF">2022-04-16T22:03:00Z</dcterms:created>
  <dcterms:modified xsi:type="dcterms:W3CDTF">2022-04-17T03:31:00Z</dcterms:modified>
</cp:coreProperties>
</file>